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7C4DC" w14:textId="69C42C15" w:rsidR="00F65AB1" w:rsidRPr="00F65AB1" w:rsidRDefault="00D34408" w:rsidP="00F65AB1">
      <w:pPr>
        <w:shd w:val="clear" w:color="auto" w:fill="CCCCCC"/>
        <w:suppressAutoHyphens/>
        <w:spacing w:after="0" w:line="36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PREGÃO </w:t>
      </w:r>
      <w:r w:rsidR="00052882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ELETRÔNICO </w:t>
      </w:r>
      <w:r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Nº</w:t>
      </w:r>
      <w:r w:rsidR="00052882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 xml:space="preserve"> </w:t>
      </w:r>
      <w:r w:rsidR="00D53D64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0</w:t>
      </w:r>
      <w:r w:rsidR="001A736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593</w:t>
      </w:r>
      <w:r w:rsidR="005B675A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/20</w:t>
      </w:r>
      <w:r w:rsidR="00052882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2</w:t>
      </w:r>
      <w:r w:rsidR="001A736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3</w:t>
      </w:r>
    </w:p>
    <w:p w14:paraId="16D82EC0" w14:textId="77777777" w:rsidR="00A56183" w:rsidRDefault="00A56183" w:rsidP="00F65AB1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p w14:paraId="7E8634EB" w14:textId="2F635B90" w:rsidR="00D67AC1" w:rsidRDefault="006774C1" w:rsidP="00A34D21">
      <w:pPr>
        <w:suppressAutoHyphens/>
        <w:spacing w:after="0" w:line="360" w:lineRule="auto"/>
        <w:jc w:val="center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RESPOSTA</w:t>
      </w:r>
      <w:r w:rsidR="00F65AB1" w:rsidRPr="00F65AB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À IMPUG</w:t>
      </w:r>
      <w:r w:rsidR="00696979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N</w:t>
      </w:r>
      <w:r w:rsidR="00F65AB1" w:rsidRPr="00F65AB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AÇ</w:t>
      </w:r>
      <w:r w:rsidR="00E22A2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ÃO</w:t>
      </w:r>
      <w:r w:rsidR="005B675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INTERPOSTA</w:t>
      </w:r>
      <w:r w:rsidR="00F65AB1" w:rsidRPr="00F65AB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</w:t>
      </w:r>
      <w:r w:rsidR="005B675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PEL</w:t>
      </w:r>
      <w:r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A EMPRESA</w:t>
      </w:r>
      <w:r w:rsidR="00535CBA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:</w:t>
      </w:r>
      <w:r w:rsidR="00052882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</w:t>
      </w:r>
      <w:r w:rsidR="001A736D">
        <w:rPr>
          <w:rFonts w:ascii="Calibri" w:eastAsia="Times New Roman" w:hAnsi="Calibri" w:cs="Calibri"/>
          <w:b/>
          <w:bCs/>
          <w:i/>
          <w:kern w:val="1"/>
          <w:sz w:val="24"/>
          <w:szCs w:val="24"/>
          <w:lang w:eastAsia="ar-SA"/>
        </w:rPr>
        <w:t>T&amp;B SOLUÇÕES E SERVIÇOS</w:t>
      </w:r>
    </w:p>
    <w:p w14:paraId="7DA90BE9" w14:textId="77777777" w:rsidR="00A34D21" w:rsidRDefault="00A34D21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Calibri" w:eastAsia="Times New Roman" w:hAnsi="Calibri" w:cs="Calibri"/>
          <w:bCs/>
          <w:kern w:val="1"/>
          <w:lang w:eastAsia="ar-SA"/>
        </w:rPr>
      </w:pPr>
    </w:p>
    <w:p w14:paraId="593AE340" w14:textId="44CAE4B3" w:rsidR="00F65AB1" w:rsidRPr="0045257D" w:rsidRDefault="00F65AB1" w:rsidP="00F65AB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No dia </w:t>
      </w:r>
      <w:r w:rsidR="001A736D">
        <w:rPr>
          <w:rFonts w:ascii="Calibri" w:eastAsia="Times New Roman" w:hAnsi="Calibri" w:cs="Calibri"/>
          <w:bCs/>
          <w:kern w:val="1"/>
          <w:sz w:val="24"/>
          <w:lang w:eastAsia="ar-SA"/>
        </w:rPr>
        <w:t>23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de </w:t>
      </w:r>
      <w:r w:rsidR="00D53D6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fevereiro</w:t>
      </w:r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de 20</w:t>
      </w:r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2</w:t>
      </w:r>
      <w:r w:rsidR="001A736D">
        <w:rPr>
          <w:rFonts w:ascii="Calibri" w:eastAsia="Times New Roman" w:hAnsi="Calibri" w:cs="Calibri"/>
          <w:bCs/>
          <w:kern w:val="1"/>
          <w:sz w:val="24"/>
          <w:lang w:eastAsia="ar-SA"/>
        </w:rPr>
        <w:t>3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,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às </w:t>
      </w:r>
      <w:r w:rsidR="00D53D6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1</w:t>
      </w:r>
      <w:r w:rsidR="001A736D">
        <w:rPr>
          <w:rFonts w:ascii="Calibri" w:eastAsia="Times New Roman" w:hAnsi="Calibri" w:cs="Calibri"/>
          <w:bCs/>
          <w:kern w:val="1"/>
          <w:sz w:val="24"/>
          <w:lang w:eastAsia="ar-SA"/>
        </w:rPr>
        <w:t>9:38</w:t>
      </w:r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h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, 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fo</w:t>
      </w:r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i 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protocolad</w:t>
      </w:r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o</w:t>
      </w:r>
      <w:r w:rsidR="00830355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,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 w:rsidR="00205F92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pelo </w:t>
      </w:r>
      <w:r w:rsidR="007C504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sistema </w:t>
      </w:r>
      <w:r w:rsidR="0074597B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E</w:t>
      </w:r>
      <w:r w:rsidR="007C504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-</w:t>
      </w:r>
      <w:proofErr w:type="spellStart"/>
      <w:r w:rsidR="007C504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Lic</w:t>
      </w:r>
      <w:proofErr w:type="spellEnd"/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, 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a IMPUGNAÇ</w:t>
      </w:r>
      <w:r w:rsidR="00CF404D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Ã</w:t>
      </w:r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O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ao Edital de P</w:t>
      </w:r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E </w:t>
      </w:r>
      <w:r w:rsidR="00D53D6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0</w:t>
      </w:r>
      <w:r w:rsidR="00BD4183">
        <w:rPr>
          <w:rFonts w:ascii="Calibri" w:eastAsia="Times New Roman" w:hAnsi="Calibri" w:cs="Calibri"/>
          <w:bCs/>
          <w:kern w:val="1"/>
          <w:sz w:val="24"/>
          <w:lang w:eastAsia="ar-SA"/>
        </w:rPr>
        <w:t>593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/20</w:t>
      </w:r>
      <w:r w:rsidR="00DC7FAE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2</w:t>
      </w:r>
      <w:r w:rsidR="00BD4183">
        <w:rPr>
          <w:rFonts w:ascii="Calibri" w:eastAsia="Times New Roman" w:hAnsi="Calibri" w:cs="Calibri"/>
          <w:bCs/>
          <w:kern w:val="1"/>
          <w:sz w:val="24"/>
          <w:lang w:eastAsia="ar-SA"/>
        </w:rPr>
        <w:t>3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pela 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empresa</w:t>
      </w:r>
      <w:r w:rsidR="00830355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 w:rsidR="0016079C">
        <w:rPr>
          <w:rFonts w:ascii="Calibri" w:eastAsia="Times New Roman" w:hAnsi="Calibri" w:cs="Calibri"/>
          <w:bCs/>
          <w:i/>
          <w:kern w:val="1"/>
          <w:sz w:val="24"/>
          <w:lang w:eastAsia="ar-SA"/>
        </w:rPr>
        <w:t>T&amp;B SOLUÇÕES E SERVIÇOS</w:t>
      </w:r>
      <w:r w:rsidR="00830355" w:rsidRPr="0045257D">
        <w:rPr>
          <w:rFonts w:ascii="Calibri" w:eastAsia="Times New Roman" w:hAnsi="Calibri" w:cs="Calibri"/>
          <w:bCs/>
          <w:i/>
          <w:kern w:val="1"/>
          <w:sz w:val="24"/>
          <w:lang w:eastAsia="ar-SA"/>
        </w:rPr>
        <w:t>,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seguindo os trâmites dispostos no edital em epígrafe, e sob a</w:t>
      </w:r>
      <w:r w:rsidR="00830355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s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qua</w:t>
      </w:r>
      <w:r w:rsidR="00830355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is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passo a </w:t>
      </w:r>
      <w:r w:rsidR="00830355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me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posicionar, conforme determinação do art. </w:t>
      </w:r>
      <w:r w:rsidR="00D67A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4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1 da Lei 8.666/93.</w:t>
      </w:r>
    </w:p>
    <w:p w14:paraId="6F29B030" w14:textId="77777777" w:rsidR="007C5044" w:rsidRDefault="007C504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p w14:paraId="50EB2CE3" w14:textId="6D64236C" w:rsidR="00BA1587" w:rsidRDefault="006774C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DA ADMISSIBILIDADE</w:t>
      </w:r>
    </w:p>
    <w:p w14:paraId="6925CF96" w14:textId="7A30B969" w:rsidR="006774C1" w:rsidRPr="0045257D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Inicialmente, cabe apreciar o requisito de admissibilidade da referida impugnaç</w:t>
      </w:r>
      <w:r w:rsidR="009962B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ão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, ou seja, apreciar se a mesma fo</w:t>
      </w:r>
      <w:r w:rsidR="009962B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i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interposta dentro do prazo estabelecido para tal.</w:t>
      </w:r>
    </w:p>
    <w:p w14:paraId="6A99A680" w14:textId="77777777" w:rsidR="006774C1" w:rsidRPr="0045257D" w:rsidRDefault="006774C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Dessa forma, o</w:t>
      </w:r>
      <w:r w:rsidR="002A24E7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parágrafo 2º, do artigo 41, da Lei 8.666/93 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dispõe</w:t>
      </w:r>
      <w:r w:rsidR="002A24E7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que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: “Decairá do direito de impugnar os termos do edital de licitação perante a Administração a licitante que não o fizer até o segundo dia útil que anteceder a abertura do </w:t>
      </w:r>
      <w:r w:rsidRPr="0045257D">
        <w:rPr>
          <w:rFonts w:ascii="Calibri" w:eastAsia="Times New Roman" w:hAnsi="Calibri" w:cs="Calibri"/>
          <w:b/>
          <w:bCs/>
          <w:kern w:val="1"/>
          <w:sz w:val="24"/>
          <w:lang w:eastAsia="ar-SA"/>
        </w:rPr>
        <w:t>certame</w:t>
      </w:r>
      <w:proofErr w:type="gramStart"/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.”</w:t>
      </w:r>
      <w:r w:rsidR="002A24E7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(</w:t>
      </w:r>
      <w:proofErr w:type="spellStart"/>
      <w:proofErr w:type="gramEnd"/>
      <w:r w:rsidR="002A24E7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g.n</w:t>
      </w:r>
      <w:proofErr w:type="spellEnd"/>
      <w:r w:rsidR="002A24E7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).</w:t>
      </w:r>
    </w:p>
    <w:p w14:paraId="239563C1" w14:textId="77777777" w:rsidR="00A34D21" w:rsidRDefault="00A34D2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lang w:eastAsia="ar-SA"/>
        </w:rPr>
      </w:pPr>
    </w:p>
    <w:p w14:paraId="3520A221" w14:textId="77777777" w:rsidR="00636988" w:rsidRDefault="00A34D2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lang w:eastAsia="ar-SA"/>
        </w:rPr>
      </w:pPr>
      <w:r>
        <w:rPr>
          <w:rFonts w:ascii="Calibri" w:eastAsia="Times New Roman" w:hAnsi="Calibri" w:cs="Calibri"/>
          <w:bCs/>
          <w:kern w:val="1"/>
          <w:lang w:eastAsia="ar-SA"/>
        </w:rPr>
        <w:t xml:space="preserve">Temos no Edital da licitação: </w:t>
      </w:r>
    </w:p>
    <w:p w14:paraId="757A4ED7" w14:textId="77777777" w:rsidR="00250686" w:rsidRPr="00250686" w:rsidRDefault="00250686" w:rsidP="00250686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</w:pPr>
      <w:r w:rsidRPr="00250686"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  <w:t>10 – DAS IMPUGNAÇÕES E DOS RECURSOS ADMINISTRATIVOS</w:t>
      </w:r>
    </w:p>
    <w:p w14:paraId="702F829E" w14:textId="77777777" w:rsidR="00250686" w:rsidRPr="00250686" w:rsidRDefault="00250686" w:rsidP="00250686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</w:pPr>
      <w:r w:rsidRPr="00250686"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  <w:t>10.1 – Qualquer pessoa até dois dias úteis antes da abertura da sessão poderá impugnar o Edital por meio do Sistema eletrônico, no espaço destinado ao “Registro de Impugnação ao Edital”.</w:t>
      </w:r>
    </w:p>
    <w:p w14:paraId="69B2D29E" w14:textId="77777777" w:rsidR="00250686" w:rsidRPr="00250686" w:rsidRDefault="00250686" w:rsidP="00250686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</w:pPr>
      <w:r w:rsidRPr="00250686"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  <w:t>10.1.1 – Fornecedores cadastrados podem optar por registrar a impugnação efetuando o login, acessando o processo eletrônico, botão “Impugnação”.</w:t>
      </w:r>
    </w:p>
    <w:p w14:paraId="1DEB15A9" w14:textId="0C46F4E8" w:rsidR="00250686" w:rsidRPr="00A34D21" w:rsidRDefault="00250686" w:rsidP="00250686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</w:pPr>
      <w:r w:rsidRPr="00250686"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  <w:t>10.1.2 – Excepcionalmente, a impugnação poderá ser realizada pelo e-mail: licita@udesc.br.</w:t>
      </w:r>
    </w:p>
    <w:p w14:paraId="03D363C8" w14:textId="77777777" w:rsidR="00A34D21" w:rsidRDefault="00A34D21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lang w:eastAsia="ar-SA"/>
        </w:rPr>
      </w:pPr>
    </w:p>
    <w:p w14:paraId="5FA78FCD" w14:textId="13F915D2" w:rsidR="006774C1" w:rsidRPr="0045257D" w:rsidRDefault="00E41D52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O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impugnante protocol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ou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a impugnaç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ão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 w:rsidR="00205F92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pel</w:t>
      </w:r>
      <w:r w:rsidR="007C504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o</w:t>
      </w:r>
      <w:r w:rsidR="00205F92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 w:rsidR="007C504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sistema eletrônico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em </w:t>
      </w:r>
      <w:r w:rsidR="000563C6">
        <w:rPr>
          <w:rFonts w:ascii="Calibri" w:eastAsia="Times New Roman" w:hAnsi="Calibri" w:cs="Calibri"/>
          <w:bCs/>
          <w:kern w:val="1"/>
          <w:sz w:val="24"/>
          <w:lang w:eastAsia="ar-SA"/>
        </w:rPr>
        <w:t>23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/</w:t>
      </w:r>
      <w:r w:rsidR="007C504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0</w:t>
      </w:r>
      <w:r w:rsidR="00D53D64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2</w:t>
      </w:r>
      <w:r w:rsidR="00D67A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/20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2</w:t>
      </w:r>
      <w:r w:rsidR="000563C6">
        <w:rPr>
          <w:rFonts w:ascii="Calibri" w:eastAsia="Times New Roman" w:hAnsi="Calibri" w:cs="Calibri"/>
          <w:bCs/>
          <w:kern w:val="1"/>
          <w:sz w:val="24"/>
          <w:lang w:eastAsia="ar-SA"/>
        </w:rPr>
        <w:t>3</w:t>
      </w:r>
      <w:r w:rsidR="00D67A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e, considerando que a abertura da sessão pública do pregão est</w:t>
      </w:r>
      <w:r w:rsidR="00CF404D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á</w:t>
      </w:r>
      <w:r w:rsidR="00D67A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agendada para o dia </w:t>
      </w:r>
      <w:r w:rsidR="000563C6">
        <w:rPr>
          <w:rFonts w:ascii="Calibri" w:eastAsia="Times New Roman" w:hAnsi="Calibri" w:cs="Calibri"/>
          <w:bCs/>
          <w:kern w:val="1"/>
          <w:sz w:val="24"/>
          <w:lang w:eastAsia="ar-SA"/>
        </w:rPr>
        <w:t>08</w:t>
      </w:r>
      <w:r w:rsidR="002A24E7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/0</w:t>
      </w:r>
      <w:r w:rsidR="000563C6">
        <w:rPr>
          <w:rFonts w:ascii="Calibri" w:eastAsia="Times New Roman" w:hAnsi="Calibri" w:cs="Calibri"/>
          <w:bCs/>
          <w:kern w:val="1"/>
          <w:sz w:val="24"/>
          <w:lang w:eastAsia="ar-SA"/>
        </w:rPr>
        <w:t>3</w:t>
      </w:r>
      <w:r w:rsidR="002A24E7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/20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2</w:t>
      </w:r>
      <w:r w:rsidR="000563C6">
        <w:rPr>
          <w:rFonts w:ascii="Calibri" w:eastAsia="Times New Roman" w:hAnsi="Calibri" w:cs="Calibri"/>
          <w:bCs/>
          <w:kern w:val="1"/>
          <w:sz w:val="24"/>
          <w:lang w:eastAsia="ar-SA"/>
        </w:rPr>
        <w:t>3</w:t>
      </w:r>
      <w:r w:rsidR="00D67A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, 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a</w:t>
      </w:r>
      <w:r w:rsidR="00D67A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presenta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m</w:t>
      </w:r>
      <w:r w:rsidR="00D67A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-se tempestiva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s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, portanto, merece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m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ter 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seus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mérito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s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analisado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s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, visto que respeit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ados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o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s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prazo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s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estabelecido</w:t>
      </w:r>
      <w:r w:rsidR="0080553A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s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na norma sobre o assunto. A resposta estará disponível publicamente no </w:t>
      </w:r>
      <w:r w:rsidR="000563C6">
        <w:rPr>
          <w:rFonts w:ascii="Calibri" w:eastAsia="Times New Roman" w:hAnsi="Calibri" w:cs="Calibri"/>
          <w:bCs/>
          <w:kern w:val="1"/>
          <w:sz w:val="24"/>
          <w:lang w:eastAsia="ar-SA"/>
        </w:rPr>
        <w:t>Po</w:t>
      </w:r>
      <w:r w:rsidR="006774C1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rtal de Compras do Estado de Santa Catarina.</w:t>
      </w:r>
    </w:p>
    <w:p w14:paraId="3A448264" w14:textId="53859F50" w:rsidR="00DA13E4" w:rsidRDefault="00DA13E4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8"/>
          <w:szCs w:val="24"/>
          <w:lang w:eastAsia="ar-SA"/>
        </w:rPr>
      </w:pPr>
    </w:p>
    <w:p w14:paraId="3F474FF1" w14:textId="77777777" w:rsidR="0045257D" w:rsidRPr="0045257D" w:rsidRDefault="0045257D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8"/>
          <w:szCs w:val="24"/>
          <w:lang w:eastAsia="ar-SA"/>
        </w:rPr>
      </w:pPr>
    </w:p>
    <w:p w14:paraId="42F5FD0D" w14:textId="77777777" w:rsidR="00093065" w:rsidRDefault="00093065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p w14:paraId="714B04C6" w14:textId="43EBAA6D" w:rsidR="005354AA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lastRenderedPageBreak/>
        <w:t>DO</w:t>
      </w:r>
      <w:r w:rsidR="00D53D64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S</w:t>
      </w: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PONTO</w:t>
      </w:r>
      <w:r w:rsidR="00D53D64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S</w:t>
      </w: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QUESTIONADO</w:t>
      </w:r>
      <w:r w:rsidR="00D53D64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S</w:t>
      </w:r>
    </w:p>
    <w:p w14:paraId="660326F3" w14:textId="34452CC0" w:rsidR="00D67AC1" w:rsidRPr="0045257D" w:rsidRDefault="00D53D64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Em que pesem os argumentos apresentados por essa empresa, os itens centrais de sua peça são:</w:t>
      </w:r>
    </w:p>
    <w:p w14:paraId="5CD28B1A" w14:textId="20A32B28" w:rsidR="00D53D64" w:rsidRPr="00202E31" w:rsidRDefault="00202E31" w:rsidP="00202E31">
      <w:pPr>
        <w:pStyle w:val="PargrafodaLista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 w:rsidRPr="00202E31">
        <w:rPr>
          <w:rFonts w:ascii="Calibri" w:eastAsia="Times New Roman" w:hAnsi="Calibri" w:cs="Calibri"/>
          <w:bCs/>
          <w:kern w:val="1"/>
          <w:sz w:val="24"/>
          <w:lang w:eastAsia="ar-SA"/>
        </w:rPr>
        <w:t>Afirma que a descrição do objeto do Lote 2 – Item 4 – Café Torrado – encontra-se como fator impeditivo à competitividade da licitação, uma vez que limita as opções de produto a serem oferecidos.</w:t>
      </w:r>
    </w:p>
    <w:p w14:paraId="7B69B073" w14:textId="52D9A1D3" w:rsidR="00202E31" w:rsidRPr="00202E31" w:rsidRDefault="00202E31" w:rsidP="00202E31">
      <w:pPr>
        <w:pStyle w:val="PargrafodaLista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lang w:eastAsia="ar-SA"/>
        </w:rPr>
        <w:t>Alega</w:t>
      </w:r>
      <w:r w:rsidR="00CA2B39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>
        <w:rPr>
          <w:rFonts w:ascii="Calibri" w:eastAsia="Times New Roman" w:hAnsi="Calibri" w:cs="Calibri"/>
          <w:bCs/>
          <w:kern w:val="1"/>
          <w:sz w:val="24"/>
          <w:lang w:eastAsia="ar-SA"/>
        </w:rPr>
        <w:t>que o Valor de Referência para o Item 4 – Café Torrado está incompatível com o preço de mercado.</w:t>
      </w:r>
    </w:p>
    <w:p w14:paraId="5EBC1468" w14:textId="0287FF62" w:rsidR="00D53D64" w:rsidRPr="0045257D" w:rsidRDefault="00D53D64" w:rsidP="00D53D6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</w:p>
    <w:p w14:paraId="365CF2D2" w14:textId="71F9B350" w:rsidR="00CF404D" w:rsidRPr="0045257D" w:rsidRDefault="00CF404D" w:rsidP="00CF404D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Para demonstrar que a Fundação Universidade do Estado de Santa Catarina adotou um edital que melhor atende às suas necessidades, primando pela busca da proposta mais vantajosa e consequentemente alcançar o interesse público, não deixando de preservar os princípios norteadores do processo licitatório na Administração Pública, apresentarei a seguir, de forma clara e objetiva</w:t>
      </w:r>
      <w:r w:rsidR="00093065">
        <w:rPr>
          <w:rFonts w:ascii="Calibri" w:eastAsia="Times New Roman" w:hAnsi="Calibri" w:cs="Calibri"/>
          <w:bCs/>
          <w:kern w:val="1"/>
          <w:sz w:val="24"/>
          <w:lang w:eastAsia="ar-SA"/>
        </w:rPr>
        <w:t>,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as respostas para cada ponto impugnado do edital.</w:t>
      </w:r>
    </w:p>
    <w:p w14:paraId="56872276" w14:textId="77777777" w:rsidR="00CF404D" w:rsidRDefault="00CF404D" w:rsidP="00D53D6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Cs/>
          <w:kern w:val="1"/>
          <w:lang w:eastAsia="ar-SA"/>
        </w:rPr>
      </w:pPr>
    </w:p>
    <w:p w14:paraId="512F126F" w14:textId="6660A5FF" w:rsidR="00D53D64" w:rsidRDefault="00D53D64" w:rsidP="00D53D64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D</w:t>
      </w:r>
      <w:r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A ANÁLISE D</w:t>
      </w: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O</w:t>
      </w:r>
      <w:r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S</w:t>
      </w: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PONTO</w:t>
      </w:r>
      <w:r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S</w:t>
      </w:r>
      <w:r w:rsidRPr="00D67AC1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QUESTIONADO</w:t>
      </w:r>
      <w:r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S</w:t>
      </w:r>
    </w:p>
    <w:p w14:paraId="4324C254" w14:textId="2590E28A" w:rsidR="00D53D64" w:rsidRPr="0045257D" w:rsidRDefault="00D53D64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Passando à análise do mérito quanto aos pontos levantados e impugnados pela empresa, tem-se as </w:t>
      </w:r>
      <w:r w:rsidR="00CF404D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seguintes </w:t>
      </w:r>
      <w:r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considerações e entendimentos abaixo</w:t>
      </w:r>
      <w:r w:rsidR="00CF404D" w:rsidRPr="0045257D">
        <w:rPr>
          <w:rFonts w:ascii="Calibri" w:eastAsia="Times New Roman" w:hAnsi="Calibri" w:cs="Calibri"/>
          <w:bCs/>
          <w:kern w:val="1"/>
          <w:sz w:val="24"/>
          <w:lang w:eastAsia="ar-SA"/>
        </w:rPr>
        <w:t>:</w:t>
      </w:r>
    </w:p>
    <w:p w14:paraId="4EE73A75" w14:textId="022202E8" w:rsidR="00443EF7" w:rsidRDefault="00202E31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 w:rsidRPr="006E59D0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Inicialmente, </w:t>
      </w:r>
      <w:r w:rsidR="006E59D0" w:rsidRPr="006E59D0">
        <w:rPr>
          <w:rFonts w:ascii="Calibri" w:eastAsia="Times New Roman" w:hAnsi="Calibri" w:cs="Calibri"/>
          <w:bCs/>
          <w:kern w:val="1"/>
          <w:sz w:val="24"/>
          <w:lang w:eastAsia="ar-SA"/>
        </w:rPr>
        <w:t>cabe esclarecer que a descrição de cada item deste certame segue especificações usuais de mercado,</w:t>
      </w:r>
      <w:r w:rsidR="00443EF7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conforme dispõe o </w:t>
      </w:r>
      <w:proofErr w:type="spellStart"/>
      <w:r w:rsidR="00443EF7">
        <w:rPr>
          <w:rFonts w:ascii="Calibri" w:eastAsia="Times New Roman" w:hAnsi="Calibri" w:cs="Calibri"/>
          <w:bCs/>
          <w:kern w:val="1"/>
          <w:sz w:val="24"/>
          <w:lang w:eastAsia="ar-SA"/>
        </w:rPr>
        <w:t>Art</w:t>
      </w:r>
      <w:proofErr w:type="spellEnd"/>
      <w:r w:rsidR="00443EF7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1º da Lei 10.520/2002:</w:t>
      </w:r>
    </w:p>
    <w:p w14:paraId="6DD63D4B" w14:textId="77777777" w:rsidR="00CA2B39" w:rsidRDefault="00CA2B39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</w:p>
    <w:p w14:paraId="773A8AFF" w14:textId="1ED3B072" w:rsidR="00443EF7" w:rsidRPr="00443EF7" w:rsidRDefault="00443EF7" w:rsidP="00443EF7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</w:pPr>
      <w:r w:rsidRPr="00443EF7"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  <w:t>Art. 1º Para aquisição de bens e serviços comuns, poderá ser adotada a licitação na modalidade de pregão, que será regida por esta Lei.</w:t>
      </w:r>
    </w:p>
    <w:p w14:paraId="1BF3401D" w14:textId="77777777" w:rsidR="00443EF7" w:rsidRPr="00443EF7" w:rsidRDefault="00443EF7" w:rsidP="00443EF7">
      <w:pPr>
        <w:suppressAutoHyphens/>
        <w:autoSpaceDE w:val="0"/>
        <w:autoSpaceDN w:val="0"/>
        <w:adjustRightInd w:val="0"/>
        <w:spacing w:after="0" w:line="360" w:lineRule="auto"/>
        <w:ind w:left="1701" w:right="708"/>
        <w:jc w:val="both"/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</w:pPr>
      <w:bookmarkStart w:id="0" w:name="art1p"/>
      <w:bookmarkEnd w:id="0"/>
      <w:r w:rsidRPr="00443EF7"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  <w:t xml:space="preserve">Parágrafo único.  Consideram-se bens e serviços comuns, para os fins e efeitos deste artigo, aqueles cujos padrões de desempenho e qualidade possam ser objetivamente definidos pelo edital, </w:t>
      </w:r>
      <w:r w:rsidRPr="00443EF7">
        <w:rPr>
          <w:rFonts w:ascii="Calibri" w:eastAsia="Times New Roman" w:hAnsi="Calibri" w:cs="Calibri"/>
          <w:b/>
          <w:bCs/>
          <w:kern w:val="1"/>
          <w:sz w:val="16"/>
          <w:szCs w:val="16"/>
          <w:lang w:eastAsia="ar-SA"/>
        </w:rPr>
        <w:t>por meio de especificações usuais no mercado</w:t>
      </w:r>
      <w:r w:rsidRPr="00443EF7">
        <w:rPr>
          <w:rFonts w:ascii="Calibri" w:eastAsia="Times New Roman" w:hAnsi="Calibri" w:cs="Calibri"/>
          <w:bCs/>
          <w:kern w:val="1"/>
          <w:sz w:val="16"/>
          <w:szCs w:val="16"/>
          <w:lang w:eastAsia="ar-SA"/>
        </w:rPr>
        <w:t>.</w:t>
      </w:r>
    </w:p>
    <w:p w14:paraId="676A2180" w14:textId="77777777" w:rsidR="00443EF7" w:rsidRDefault="00443EF7" w:rsidP="00D53D64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</w:p>
    <w:p w14:paraId="6E3158E9" w14:textId="11CB11AD" w:rsidR="00B12500" w:rsidRDefault="00443EF7" w:rsidP="00B1250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lang w:eastAsia="ar-SA"/>
        </w:rPr>
        <w:t>Sendo assim, o item 4 – Café Torrado segue a descrição objetivando garantir a observância do princípio constitucional da isonomia</w:t>
      </w:r>
      <w:r w:rsidR="00B12500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e a seleção da proposta mais vantajosa para </w:t>
      </w:r>
      <w:r w:rsidR="00CA2B39">
        <w:rPr>
          <w:rFonts w:ascii="Calibri" w:eastAsia="Times New Roman" w:hAnsi="Calibri" w:cs="Calibri"/>
          <w:bCs/>
          <w:kern w:val="1"/>
          <w:sz w:val="24"/>
          <w:lang w:eastAsia="ar-SA"/>
        </w:rPr>
        <w:t>a</w:t>
      </w:r>
      <w:r w:rsidR="00B12500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instituição. Além disso, por tratar-se de gênero alimentício, é importante ressaltar que este deve cumprir exigências mínimas de qualidade estabelecidas de acordo com as legislações vigentes. </w:t>
      </w:r>
    </w:p>
    <w:p w14:paraId="3687FA25" w14:textId="7E4A34A2" w:rsidR="006D0DB5" w:rsidRDefault="00CA2B39" w:rsidP="006D0DB5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lang w:eastAsia="ar-SA"/>
        </w:rPr>
        <w:lastRenderedPageBreak/>
        <w:t>A</w:t>
      </w:r>
      <w:r w:rsidR="00B12500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inda que a UDESC e a própria legislação </w:t>
      </w:r>
      <w:proofErr w:type="gramStart"/>
      <w:r w:rsidR="00B12500">
        <w:rPr>
          <w:rFonts w:ascii="Calibri" w:eastAsia="Times New Roman" w:hAnsi="Calibri" w:cs="Calibri"/>
          <w:bCs/>
          <w:kern w:val="1"/>
          <w:sz w:val="24"/>
          <w:lang w:eastAsia="ar-SA"/>
        </w:rPr>
        <w:t>exija</w:t>
      </w:r>
      <w:proofErr w:type="gramEnd"/>
      <w:r w:rsidR="00B12500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qualidade mínima ao produto a ser contratado,</w:t>
      </w:r>
      <w:r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ressalta-se que</w:t>
      </w:r>
      <w:r w:rsidR="00B12500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existem inúmeras marcas de cafés disponíveis </w:t>
      </w:r>
      <w:r>
        <w:rPr>
          <w:rFonts w:ascii="Calibri" w:eastAsia="Times New Roman" w:hAnsi="Calibri" w:cs="Calibri"/>
          <w:bCs/>
          <w:kern w:val="1"/>
          <w:sz w:val="24"/>
          <w:lang w:eastAsia="ar-SA"/>
        </w:rPr>
        <w:t>atualmente no</w:t>
      </w:r>
      <w:r w:rsidR="00B12500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mercado as quais atendem à descrição solicitada</w:t>
      </w:r>
      <w:r>
        <w:rPr>
          <w:rFonts w:ascii="Calibri" w:eastAsia="Times New Roman" w:hAnsi="Calibri" w:cs="Calibri"/>
          <w:bCs/>
          <w:kern w:val="1"/>
          <w:sz w:val="24"/>
          <w:lang w:eastAsia="ar-SA"/>
        </w:rPr>
        <w:t>, logo, não há o que se falar sobre limitação de opções de produto a serem ofertadas</w:t>
      </w:r>
      <w:r w:rsidR="00B12500">
        <w:rPr>
          <w:rFonts w:ascii="Calibri" w:eastAsia="Times New Roman" w:hAnsi="Calibri" w:cs="Calibri"/>
          <w:bCs/>
          <w:kern w:val="1"/>
          <w:sz w:val="24"/>
          <w:lang w:eastAsia="ar-SA"/>
        </w:rPr>
        <w:t>.</w:t>
      </w:r>
    </w:p>
    <w:p w14:paraId="66EE0F6D" w14:textId="533FDCA6" w:rsidR="00B12500" w:rsidRDefault="00CA2B39" w:rsidP="00B1250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lang w:eastAsia="ar-SA"/>
        </w:rPr>
        <w:t>Por fim</w:t>
      </w:r>
      <w:r w:rsidR="00B12500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, salienta-se que o Valor de Referência utilizado para o referido produto </w:t>
      </w:r>
      <w:r w:rsidR="00E134EF">
        <w:rPr>
          <w:rFonts w:ascii="Calibri" w:eastAsia="Times New Roman" w:hAnsi="Calibri" w:cs="Calibri"/>
          <w:bCs/>
          <w:kern w:val="1"/>
          <w:sz w:val="24"/>
          <w:lang w:eastAsia="ar-SA"/>
        </w:rPr>
        <w:t>foi obtido através do balizamento de preços obtidos por meio de pesquisas ao mercado</w:t>
      </w:r>
      <w:r w:rsidR="006D0DB5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de diversas marcas de café, como </w:t>
      </w:r>
      <w:proofErr w:type="spellStart"/>
      <w:r w:rsidR="006D0DB5">
        <w:rPr>
          <w:rFonts w:ascii="Calibri" w:eastAsia="Times New Roman" w:hAnsi="Calibri" w:cs="Calibri"/>
          <w:bCs/>
          <w:kern w:val="1"/>
          <w:sz w:val="24"/>
          <w:lang w:eastAsia="ar-SA"/>
        </w:rPr>
        <w:t>Melita</w:t>
      </w:r>
      <w:proofErr w:type="spellEnd"/>
      <w:r w:rsidR="006D0DB5">
        <w:rPr>
          <w:rFonts w:ascii="Calibri" w:eastAsia="Times New Roman" w:hAnsi="Calibri" w:cs="Calibri"/>
          <w:bCs/>
          <w:kern w:val="1"/>
          <w:sz w:val="24"/>
          <w:lang w:eastAsia="ar-SA"/>
        </w:rPr>
        <w:t>, Santa Catarina, etc. Além disso, foram utilizados o</w:t>
      </w:r>
      <w:r w:rsidR="00E134EF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banco de preços públicos, </w:t>
      </w:r>
      <w:r w:rsidR="00E134EF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bem como o </w:t>
      </w:r>
      <w:r>
        <w:rPr>
          <w:rFonts w:ascii="Calibri" w:eastAsia="Times New Roman" w:hAnsi="Calibri" w:cs="Calibri"/>
          <w:bCs/>
          <w:kern w:val="1"/>
          <w:sz w:val="24"/>
          <w:lang w:eastAsia="ar-SA"/>
        </w:rPr>
        <w:t>valor registrado na ata do ano anterior</w:t>
      </w:r>
      <w:r w:rsidR="006D0DB5">
        <w:rPr>
          <w:rFonts w:ascii="Calibri" w:eastAsia="Times New Roman" w:hAnsi="Calibri" w:cs="Calibri"/>
          <w:bCs/>
          <w:kern w:val="1"/>
          <w:sz w:val="24"/>
          <w:lang w:eastAsia="ar-SA"/>
        </w:rPr>
        <w:t>. É importante ressaltar que na ata vigente, a fornecedora está ofertando o produto à R$ 16,57 à UDESC. O valor máximo para o produto neste certame é de R$ 18,55</w:t>
      </w:r>
      <w:r w:rsidR="006D0DB5">
        <w:rPr>
          <w:rFonts w:ascii="Calibri" w:eastAsia="Times New Roman" w:hAnsi="Calibri" w:cs="Calibri"/>
          <w:bCs/>
          <w:kern w:val="1"/>
          <w:sz w:val="24"/>
          <w:lang w:eastAsia="ar-SA"/>
        </w:rPr>
        <w:t>,</w:t>
      </w:r>
      <w:r w:rsidR="007F443B"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</w:t>
      </w:r>
      <w:r>
        <w:rPr>
          <w:rFonts w:ascii="Calibri" w:eastAsia="Times New Roman" w:hAnsi="Calibri" w:cs="Calibri"/>
          <w:bCs/>
          <w:kern w:val="1"/>
          <w:sz w:val="24"/>
          <w:lang w:eastAsia="ar-SA"/>
        </w:rPr>
        <w:t>portanto, encontra-se de acordo com</w:t>
      </w:r>
      <w:bookmarkStart w:id="1" w:name="_GoBack"/>
      <w:bookmarkEnd w:id="1"/>
      <w:r>
        <w:rPr>
          <w:rFonts w:ascii="Calibri" w:eastAsia="Times New Roman" w:hAnsi="Calibri" w:cs="Calibri"/>
          <w:bCs/>
          <w:kern w:val="1"/>
          <w:sz w:val="24"/>
          <w:lang w:eastAsia="ar-SA"/>
        </w:rPr>
        <w:t xml:space="preserve"> o valor de mercado.</w:t>
      </w:r>
    </w:p>
    <w:p w14:paraId="7C8ED1EE" w14:textId="77777777" w:rsidR="00B12500" w:rsidRPr="006E59D0" w:rsidRDefault="00B12500" w:rsidP="00B12500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sz w:val="24"/>
          <w:lang w:eastAsia="ar-SA"/>
        </w:rPr>
      </w:pPr>
    </w:p>
    <w:p w14:paraId="4E288DD2" w14:textId="602625E5" w:rsidR="005354AA" w:rsidRDefault="005354AA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  <w:r w:rsidRPr="00D67AC1">
        <w:rPr>
          <w:rFonts w:eastAsia="Times New Roman" w:cs="Calibri"/>
          <w:b/>
          <w:bCs/>
          <w:kern w:val="1"/>
          <w:sz w:val="24"/>
          <w:szCs w:val="24"/>
          <w:lang w:eastAsia="ar-SA"/>
        </w:rPr>
        <w:t>DA DECISÃO</w:t>
      </w:r>
    </w:p>
    <w:p w14:paraId="359D6872" w14:textId="2F4DAE5E" w:rsidR="00FB282E" w:rsidRPr="00FB282E" w:rsidRDefault="00FB282E" w:rsidP="00374BB6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Calibri"/>
          <w:bCs/>
          <w:kern w:val="1"/>
          <w:sz w:val="24"/>
          <w:szCs w:val="24"/>
          <w:lang w:eastAsia="ar-SA"/>
        </w:rPr>
      </w:pP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Pelas razões de fato e de direito acima aduzidas, a Pregoeira acolhe, mas no mérito decide por </w:t>
      </w:r>
      <w:r w:rsidR="00CA2B39">
        <w:rPr>
          <w:rFonts w:eastAsia="Times New Roman" w:cs="Calibri"/>
          <w:bCs/>
          <w:kern w:val="1"/>
          <w:sz w:val="24"/>
          <w:szCs w:val="24"/>
          <w:lang w:eastAsia="ar-SA"/>
        </w:rPr>
        <w:t>NEGAR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 xml:space="preserve"> provimento à impugnação, dentro do prazo previsto em lei, apresentada pela empresa </w:t>
      </w:r>
      <w:r w:rsidR="00CA2B39">
        <w:rPr>
          <w:rFonts w:ascii="Calibri" w:eastAsia="Times New Roman" w:hAnsi="Calibri" w:cs="Calibri"/>
          <w:bCs/>
          <w:i/>
          <w:kern w:val="1"/>
          <w:sz w:val="24"/>
          <w:lang w:eastAsia="ar-SA"/>
        </w:rPr>
        <w:t>T&amp;B SOLUÇÕES E SERVIÇOS</w:t>
      </w:r>
      <w:r>
        <w:rPr>
          <w:rFonts w:eastAsia="Times New Roman" w:cs="Calibri"/>
          <w:bCs/>
          <w:kern w:val="1"/>
          <w:sz w:val="24"/>
          <w:szCs w:val="24"/>
          <w:lang w:eastAsia="ar-SA"/>
        </w:rPr>
        <w:t>, mantendo-se o Edital nos seus devidos termos.</w:t>
      </w:r>
    </w:p>
    <w:p w14:paraId="65E4B716" w14:textId="77777777" w:rsidR="00102DD1" w:rsidRDefault="00102DD1" w:rsidP="005354A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Calibri"/>
          <w:b/>
          <w:bCs/>
          <w:kern w:val="1"/>
          <w:sz w:val="24"/>
          <w:szCs w:val="24"/>
          <w:lang w:eastAsia="ar-SA"/>
        </w:rPr>
      </w:pPr>
    </w:p>
    <w:p w14:paraId="04D59A0B" w14:textId="77777777" w:rsidR="00DA13E4" w:rsidRDefault="00DA13E4" w:rsidP="00D67AC1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eastAsia="Times New Roman" w:hAnsi="Calibri" w:cs="Calibri"/>
          <w:bCs/>
          <w:kern w:val="1"/>
          <w:lang w:eastAsia="ar-SA"/>
        </w:rPr>
      </w:pPr>
    </w:p>
    <w:p w14:paraId="55453718" w14:textId="77777777" w:rsidR="00D34408" w:rsidRDefault="00D34408" w:rsidP="00D67A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</w:p>
    <w:p w14:paraId="5B5F8203" w14:textId="77777777" w:rsidR="00DA13E4" w:rsidRPr="00E37A38" w:rsidRDefault="00DA13E4" w:rsidP="00DA13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E37A38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_______________________</w:t>
      </w:r>
    </w:p>
    <w:p w14:paraId="7A0B9550" w14:textId="359D1AD2" w:rsidR="00DA13E4" w:rsidRPr="00E37A38" w:rsidRDefault="00D53D64" w:rsidP="00DA13E4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</w:pPr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Patricia </w:t>
      </w:r>
      <w:proofErr w:type="spellStart"/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Michels</w:t>
      </w:r>
      <w:proofErr w:type="spellEnd"/>
      <w:r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Sandrini</w:t>
      </w:r>
    </w:p>
    <w:p w14:paraId="296C114E" w14:textId="123C9637" w:rsidR="00DA13E4" w:rsidRPr="00E37A38" w:rsidRDefault="00DA13E4" w:rsidP="00DA13E4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</w:rPr>
        <w:sectPr w:rsidR="00DA13E4" w:rsidRPr="00E37A38" w:rsidSect="00DA13E4">
          <w:headerReference w:type="default" r:id="rId8"/>
          <w:footerReference w:type="default" r:id="rId9"/>
          <w:type w:val="continuous"/>
          <w:pgSz w:w="11906" w:h="16838"/>
          <w:pgMar w:top="1418" w:right="1134" w:bottom="851" w:left="1418" w:header="709" w:footer="709" w:gutter="0"/>
          <w:cols w:space="708"/>
          <w:docGrid w:linePitch="360"/>
        </w:sectPr>
      </w:pPr>
      <w:r w:rsidRPr="00E37A38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Pregoeir</w:t>
      </w:r>
      <w:r w:rsidR="00A43F23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a</w:t>
      </w:r>
    </w:p>
    <w:p w14:paraId="31E09EE6" w14:textId="5227101C" w:rsidR="00DA13E4" w:rsidRDefault="00DA13E4" w:rsidP="00DA13E4">
      <w:pPr>
        <w:spacing w:after="0" w:line="240" w:lineRule="auto"/>
        <w:rPr>
          <w:rFonts w:ascii="Calibri" w:hAnsi="Calibri"/>
        </w:rPr>
      </w:pPr>
    </w:p>
    <w:p w14:paraId="3FA1D258" w14:textId="77777777" w:rsidR="00CA2B39" w:rsidRPr="00E37A38" w:rsidRDefault="00CA2B39" w:rsidP="00DA13E4">
      <w:pPr>
        <w:spacing w:after="0" w:line="240" w:lineRule="auto"/>
        <w:rPr>
          <w:rFonts w:ascii="Calibri" w:hAnsi="Calibri"/>
        </w:rPr>
      </w:pPr>
    </w:p>
    <w:p w14:paraId="113CB4ED" w14:textId="4CE0435A" w:rsidR="009D1030" w:rsidRPr="00F65AB1" w:rsidRDefault="00F65AB1" w:rsidP="00B04849">
      <w:pPr>
        <w:widowControl w:val="0"/>
        <w:tabs>
          <w:tab w:val="left" w:pos="115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spacing w:after="0" w:line="360" w:lineRule="auto"/>
        <w:jc w:val="center"/>
      </w:pP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Florianópolis, </w:t>
      </w:r>
      <w:r w:rsidR="00CA2B3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02</w:t>
      </w:r>
      <w:r w:rsidR="007C6132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</w:t>
      </w:r>
      <w:r w:rsidRPr="00F65AB1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de </w:t>
      </w:r>
      <w:r w:rsidR="00CA2B3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março</w:t>
      </w:r>
      <w:r w:rsidR="005B675A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 xml:space="preserve"> de 20</w:t>
      </w:r>
      <w:r w:rsidR="00DA13E4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2</w:t>
      </w:r>
      <w:r w:rsidR="008349F8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2</w:t>
      </w:r>
      <w:r w:rsidR="00B04849">
        <w:rPr>
          <w:rFonts w:ascii="Calibri" w:eastAsia="Times New Roman" w:hAnsi="Calibri" w:cs="Calibri"/>
          <w:bCs/>
          <w:kern w:val="1"/>
          <w:sz w:val="24"/>
          <w:szCs w:val="24"/>
          <w:lang w:eastAsia="ar-SA"/>
        </w:rPr>
        <w:t>.</w:t>
      </w:r>
    </w:p>
    <w:sectPr w:rsidR="009D1030" w:rsidRPr="00F65AB1" w:rsidSect="00052882">
      <w:headerReference w:type="default" r:id="rId10"/>
      <w:footerReference w:type="default" r:id="rId11"/>
      <w:type w:val="continuous"/>
      <w:pgSz w:w="11906" w:h="16838"/>
      <w:pgMar w:top="1418" w:right="1133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6FE26" w14:textId="77777777" w:rsidR="005D768B" w:rsidRDefault="005D768B" w:rsidP="00553B38">
      <w:pPr>
        <w:spacing w:after="0" w:line="240" w:lineRule="auto"/>
      </w:pPr>
      <w:r>
        <w:separator/>
      </w:r>
    </w:p>
  </w:endnote>
  <w:endnote w:type="continuationSeparator" w:id="0">
    <w:p w14:paraId="100CEDA4" w14:textId="77777777" w:rsidR="005D768B" w:rsidRDefault="005D768B" w:rsidP="00553B38">
      <w:pPr>
        <w:spacing w:after="0" w:line="240" w:lineRule="auto"/>
      </w:pPr>
      <w:r>
        <w:continuationSeparator/>
      </w:r>
    </w:p>
  </w:endnote>
  <w:endnote w:type="continuationNotice" w:id="1">
    <w:p w14:paraId="67DC76B8" w14:textId="77777777" w:rsidR="006D0DB5" w:rsidRDefault="006D0D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DB1E7" w14:textId="77777777" w:rsidR="00DA13E4" w:rsidRDefault="00DA13E4" w:rsidP="004C3221">
    <w:pPr>
      <w:pStyle w:val="Rodap"/>
      <w:jc w:val="right"/>
      <w:rPr>
        <w:rFonts w:ascii="Garamond" w:hAnsi="Garamond"/>
      </w:rPr>
    </w:pPr>
  </w:p>
  <w:p w14:paraId="600EC25C" w14:textId="77777777" w:rsidR="00DA13E4" w:rsidRPr="004C3221" w:rsidRDefault="00DA13E4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</w:t>
    </w:r>
    <w:r w:rsidRPr="004C3221">
      <w:rPr>
        <w:rFonts w:ascii="Garamond" w:hAnsi="Garamond"/>
      </w:rPr>
      <w:t>- FLORIANÓPOLIS</w:t>
    </w:r>
  </w:p>
  <w:p w14:paraId="31431C4A" w14:textId="77777777" w:rsidR="00DA13E4" w:rsidRPr="00042199" w:rsidRDefault="00DA13E4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76A106B1" w14:textId="77777777" w:rsidR="00DA13E4" w:rsidRDefault="00DA13E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14:paraId="1A8A9CE7" w14:textId="77777777" w:rsidR="00DA13E4" w:rsidRPr="004C3221" w:rsidRDefault="00DA13E4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Florianópolis SC - Fone (48) 3321-809</w:t>
    </w:r>
    <w:r>
      <w:rPr>
        <w:rFonts w:ascii="Garamond" w:hAnsi="Garamond"/>
      </w:rPr>
      <w:t>3</w:t>
    </w:r>
    <w:r w:rsidRPr="004C3221">
      <w:rPr>
        <w:rFonts w:ascii="Garamond" w:hAnsi="Garamond"/>
      </w:rPr>
      <w:t xml:space="preserve"> - </w:t>
    </w:r>
    <w:r w:rsidRPr="00042199">
      <w:rPr>
        <w:rFonts w:ascii="Garamond" w:hAnsi="Garamond"/>
        <w:b/>
      </w:rPr>
      <w:t>www.udesc.br/?id=832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FB3DA" w14:textId="77777777" w:rsidR="00895BAC" w:rsidRDefault="00895BAC" w:rsidP="004C3221">
    <w:pPr>
      <w:pStyle w:val="Rodap"/>
      <w:jc w:val="right"/>
      <w:rPr>
        <w:rFonts w:ascii="Garamond" w:hAnsi="Garamond"/>
      </w:rPr>
    </w:pPr>
  </w:p>
  <w:p w14:paraId="21138A63" w14:textId="77777777" w:rsidR="00FA7680" w:rsidRPr="00EF1867" w:rsidRDefault="00FA7680" w:rsidP="00FA7680">
    <w:pPr>
      <w:pStyle w:val="Rodap"/>
      <w:jc w:val="right"/>
      <w:rPr>
        <w:sz w:val="20"/>
        <w:szCs w:val="20"/>
      </w:rPr>
    </w:pPr>
    <w:r w:rsidRPr="00EF1867">
      <w:rPr>
        <w:sz w:val="20"/>
        <w:szCs w:val="20"/>
      </w:rPr>
      <w:t>REITORIA - FLORIANÓPOLIS</w:t>
    </w:r>
  </w:p>
  <w:p w14:paraId="05B0C9CA" w14:textId="77777777" w:rsidR="004C3221" w:rsidRPr="00EF1867" w:rsidRDefault="004C3221" w:rsidP="004C3221">
    <w:pPr>
      <w:pStyle w:val="Rodap"/>
      <w:jc w:val="right"/>
      <w:rPr>
        <w:b/>
        <w:sz w:val="20"/>
        <w:szCs w:val="20"/>
      </w:rPr>
    </w:pPr>
    <w:r w:rsidRPr="00EF1867">
      <w:rPr>
        <w:b/>
        <w:sz w:val="20"/>
        <w:szCs w:val="20"/>
      </w:rPr>
      <w:t>Universidade do Estado de Santa Catarina</w:t>
    </w:r>
  </w:p>
  <w:p w14:paraId="6A3A0B58" w14:textId="77777777" w:rsidR="00042199" w:rsidRPr="00EF1867" w:rsidRDefault="004C3221" w:rsidP="004C3221">
    <w:pPr>
      <w:pStyle w:val="Rodap"/>
      <w:jc w:val="right"/>
      <w:rPr>
        <w:sz w:val="20"/>
        <w:szCs w:val="20"/>
      </w:rPr>
    </w:pPr>
    <w:r w:rsidRPr="00EF1867">
      <w:rPr>
        <w:sz w:val="20"/>
        <w:szCs w:val="20"/>
      </w:rPr>
      <w:t xml:space="preserve">Av. Madre </w:t>
    </w:r>
    <w:proofErr w:type="spellStart"/>
    <w:r w:rsidRPr="00EF1867">
      <w:rPr>
        <w:sz w:val="20"/>
        <w:szCs w:val="20"/>
      </w:rPr>
      <w:t>Benvenuta</w:t>
    </w:r>
    <w:proofErr w:type="spellEnd"/>
    <w:r w:rsidRPr="00EF1867">
      <w:rPr>
        <w:sz w:val="20"/>
        <w:szCs w:val="20"/>
      </w:rPr>
      <w:t xml:space="preserve">, 2007 - </w:t>
    </w:r>
    <w:proofErr w:type="spellStart"/>
    <w:r w:rsidRPr="00EF1867">
      <w:rPr>
        <w:sz w:val="20"/>
        <w:szCs w:val="20"/>
      </w:rPr>
      <w:t>Itacorubi</w:t>
    </w:r>
    <w:proofErr w:type="spellEnd"/>
    <w:r w:rsidRPr="00EF1867">
      <w:rPr>
        <w:sz w:val="20"/>
        <w:szCs w:val="20"/>
      </w:rPr>
      <w:t xml:space="preserve"> - 88.035-001</w:t>
    </w:r>
  </w:p>
  <w:p w14:paraId="4FD21B50" w14:textId="77777777" w:rsidR="00553B38" w:rsidRPr="00EF1867" w:rsidRDefault="004C3221" w:rsidP="004C3221">
    <w:pPr>
      <w:pStyle w:val="Rodap"/>
      <w:jc w:val="right"/>
      <w:rPr>
        <w:sz w:val="20"/>
        <w:szCs w:val="20"/>
      </w:rPr>
    </w:pPr>
    <w:r w:rsidRPr="00EF1867">
      <w:rPr>
        <w:sz w:val="20"/>
        <w:szCs w:val="20"/>
      </w:rPr>
      <w:t>Florianópolis SC - Fone (48) 3321-809</w:t>
    </w:r>
    <w:r w:rsidR="009D1030" w:rsidRPr="00EF1867">
      <w:rPr>
        <w:sz w:val="20"/>
        <w:szCs w:val="20"/>
      </w:rPr>
      <w:t>3</w:t>
    </w:r>
    <w:r w:rsidRPr="00EF1867">
      <w:rPr>
        <w:sz w:val="20"/>
        <w:szCs w:val="20"/>
      </w:rPr>
      <w:t xml:space="preserve"> - </w:t>
    </w:r>
    <w:r w:rsidR="00042199" w:rsidRPr="00EF1867">
      <w:rPr>
        <w:b/>
        <w:sz w:val="20"/>
        <w:szCs w:val="20"/>
      </w:rPr>
      <w:t>www.udesc.br/?id=832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E02D6" w14:textId="77777777" w:rsidR="005D768B" w:rsidRDefault="005D768B" w:rsidP="00553B38">
      <w:pPr>
        <w:spacing w:after="0" w:line="240" w:lineRule="auto"/>
      </w:pPr>
      <w:r>
        <w:separator/>
      </w:r>
    </w:p>
  </w:footnote>
  <w:footnote w:type="continuationSeparator" w:id="0">
    <w:p w14:paraId="4A56294F" w14:textId="77777777" w:rsidR="005D768B" w:rsidRDefault="005D768B" w:rsidP="00553B38">
      <w:pPr>
        <w:spacing w:after="0" w:line="240" w:lineRule="auto"/>
      </w:pPr>
      <w:r>
        <w:continuationSeparator/>
      </w:r>
    </w:p>
  </w:footnote>
  <w:footnote w:type="continuationNotice" w:id="1">
    <w:p w14:paraId="62B5228C" w14:textId="77777777" w:rsidR="006D0DB5" w:rsidRDefault="006D0D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0C8AF" w14:textId="77777777" w:rsidR="00DA13E4" w:rsidRDefault="00DA13E4">
    <w:pPr>
      <w:pStyle w:val="Cabealho"/>
    </w:pPr>
    <w:r>
      <w:rPr>
        <w:rFonts w:ascii="Verdana" w:hAnsi="Verdana"/>
        <w:noProof/>
        <w:sz w:val="14"/>
        <w:lang w:eastAsia="pt-BR"/>
      </w:rPr>
      <w:drawing>
        <wp:anchor distT="0" distB="0" distL="114300" distR="114300" simplePos="0" relativeHeight="251661312" behindDoc="0" locked="0" layoutInCell="1" allowOverlap="1" wp14:anchorId="216781BB" wp14:editId="1AE894D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059200" cy="450000"/>
          <wp:effectExtent l="0" t="0" r="0" b="762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rizontal__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2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CFEC1F" w14:textId="76549ADD" w:rsidR="00DA13E4" w:rsidRDefault="00DA13E4">
    <w:pPr>
      <w:pStyle w:val="Cabealho"/>
    </w:pPr>
  </w:p>
  <w:p w14:paraId="26C5F777" w14:textId="13B3485B" w:rsidR="00202E31" w:rsidRDefault="00202E31">
    <w:pPr>
      <w:pStyle w:val="Cabealho"/>
    </w:pPr>
  </w:p>
  <w:p w14:paraId="5FEB8068" w14:textId="77777777" w:rsidR="00202E31" w:rsidRDefault="00202E3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A379A" w14:textId="77777777" w:rsidR="009A036D" w:rsidRPr="009A036D" w:rsidRDefault="009A036D" w:rsidP="009A036D">
    <w:pPr>
      <w:pStyle w:val="Cabealho"/>
      <w:jc w:val="center"/>
      <w:rPr>
        <w:b/>
        <w:sz w:val="20"/>
        <w:szCs w:val="20"/>
      </w:rPr>
    </w:pPr>
  </w:p>
  <w:p w14:paraId="7B53DA3F" w14:textId="77777777" w:rsidR="009A036D" w:rsidRPr="009A036D" w:rsidRDefault="009A036D" w:rsidP="009A036D">
    <w:pPr>
      <w:pStyle w:val="Cabealho"/>
      <w:jc w:val="center"/>
      <w:rPr>
        <w:b/>
        <w:sz w:val="20"/>
        <w:szCs w:val="20"/>
      </w:rPr>
    </w:pPr>
    <w:r w:rsidRPr="009A036D">
      <w:rPr>
        <w:noProof/>
        <w:sz w:val="20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67A2AE88" wp14:editId="670E7A9C">
          <wp:simplePos x="0" y="0"/>
          <wp:positionH relativeFrom="column">
            <wp:posOffset>1781175</wp:posOffset>
          </wp:positionH>
          <wp:positionV relativeFrom="paragraph">
            <wp:posOffset>-142875</wp:posOffset>
          </wp:positionV>
          <wp:extent cx="2228850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E891C7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</w:p>
  <w:p w14:paraId="272D78E7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</w:p>
  <w:p w14:paraId="16840831" w14:textId="77777777" w:rsidR="009A036D" w:rsidRPr="009A036D" w:rsidRDefault="009A036D" w:rsidP="009A036D">
    <w:pPr>
      <w:pStyle w:val="Cabealho"/>
      <w:jc w:val="center"/>
      <w:rPr>
        <w:b/>
        <w:sz w:val="20"/>
        <w:szCs w:val="20"/>
      </w:rPr>
    </w:pPr>
  </w:p>
  <w:p w14:paraId="623B0435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  <w:r w:rsidRPr="009A036D">
      <w:rPr>
        <w:rFonts w:ascii="Calibri" w:hAnsi="Calibri" w:cs="Calibri"/>
        <w:b/>
        <w:sz w:val="20"/>
        <w:szCs w:val="20"/>
      </w:rPr>
      <w:t xml:space="preserve">ESTADO DE SANTA CATARINA </w:t>
    </w:r>
  </w:p>
  <w:p w14:paraId="0D1D5F3E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  <w:r w:rsidRPr="009A036D">
      <w:rPr>
        <w:rFonts w:ascii="Calibri" w:hAnsi="Calibri" w:cs="Calibri"/>
        <w:b/>
        <w:sz w:val="20"/>
        <w:szCs w:val="20"/>
      </w:rPr>
      <w:t>FUNDAÇÃO UNIVERSIDADE DO ESTADO DE SANTA CATARINA - UDESC</w:t>
    </w:r>
  </w:p>
  <w:p w14:paraId="3ADB75E9" w14:textId="77777777" w:rsidR="009A036D" w:rsidRP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  <w:r w:rsidRPr="009A036D">
      <w:rPr>
        <w:rFonts w:ascii="Calibri" w:hAnsi="Calibri" w:cs="Calibri"/>
        <w:b/>
        <w:sz w:val="20"/>
        <w:szCs w:val="20"/>
      </w:rPr>
      <w:t>PRÓ-REITORIA DE ADMINISTRAÇÃO – PROAD</w:t>
    </w:r>
  </w:p>
  <w:p w14:paraId="104741D1" w14:textId="77777777" w:rsidR="009A036D" w:rsidRDefault="009A036D" w:rsidP="009A036D">
    <w:pPr>
      <w:pStyle w:val="Cabealho"/>
      <w:rPr>
        <w:rFonts w:ascii="Calibri" w:hAnsi="Calibri" w:cs="Calibri"/>
        <w:b/>
        <w:sz w:val="20"/>
        <w:szCs w:val="20"/>
      </w:rPr>
    </w:pPr>
    <w:r w:rsidRPr="009A036D">
      <w:rPr>
        <w:rFonts w:ascii="Calibri" w:hAnsi="Calibri" w:cs="Calibri"/>
        <w:b/>
        <w:sz w:val="20"/>
        <w:szCs w:val="20"/>
      </w:rPr>
      <w:t>COORDENAÇÃO DE LICITAÇÕES E COMPRAS – CLC</w:t>
    </w:r>
  </w:p>
  <w:p w14:paraId="18B49E0F" w14:textId="77777777" w:rsidR="003015EB" w:rsidRPr="009A036D" w:rsidRDefault="003015EB" w:rsidP="009A036D">
    <w:pPr>
      <w:pStyle w:val="Cabealho"/>
      <w:rPr>
        <w:rFonts w:ascii="Calibri" w:hAnsi="Calibri" w:cs="Calibri"/>
        <w:b/>
        <w:sz w:val="20"/>
        <w:szCs w:val="20"/>
      </w:rPr>
    </w:pPr>
  </w:p>
  <w:p w14:paraId="64206297" w14:textId="77777777" w:rsidR="006D4CEA" w:rsidRDefault="006D4CE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B1541"/>
    <w:multiLevelType w:val="hybridMultilevel"/>
    <w:tmpl w:val="C8424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B67A8"/>
    <w:multiLevelType w:val="hybridMultilevel"/>
    <w:tmpl w:val="B1708A1E"/>
    <w:lvl w:ilvl="0" w:tplc="D7D8060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F30976"/>
    <w:multiLevelType w:val="hybridMultilevel"/>
    <w:tmpl w:val="5B728E3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19D7F1D"/>
    <w:multiLevelType w:val="hybridMultilevel"/>
    <w:tmpl w:val="F0B4D93A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DB86D9C"/>
    <w:multiLevelType w:val="hybridMultilevel"/>
    <w:tmpl w:val="CD40A6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1039A"/>
    <w:multiLevelType w:val="hybridMultilevel"/>
    <w:tmpl w:val="CEBCC0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2489A"/>
    <w:multiLevelType w:val="hybridMultilevel"/>
    <w:tmpl w:val="D9FE92A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30"/>
    <w:rsid w:val="00042199"/>
    <w:rsid w:val="0004633F"/>
    <w:rsid w:val="00052882"/>
    <w:rsid w:val="000563C6"/>
    <w:rsid w:val="00093065"/>
    <w:rsid w:val="00102DD1"/>
    <w:rsid w:val="00114527"/>
    <w:rsid w:val="0016079C"/>
    <w:rsid w:val="00175F95"/>
    <w:rsid w:val="00176D7E"/>
    <w:rsid w:val="00192849"/>
    <w:rsid w:val="001A1832"/>
    <w:rsid w:val="001A413E"/>
    <w:rsid w:val="001A736D"/>
    <w:rsid w:val="001C5824"/>
    <w:rsid w:val="00202E31"/>
    <w:rsid w:val="00205F92"/>
    <w:rsid w:val="00250686"/>
    <w:rsid w:val="00263CA6"/>
    <w:rsid w:val="00271992"/>
    <w:rsid w:val="002A24E7"/>
    <w:rsid w:val="002C1E16"/>
    <w:rsid w:val="002D48C0"/>
    <w:rsid w:val="003015EB"/>
    <w:rsid w:val="00315EB7"/>
    <w:rsid w:val="0034698C"/>
    <w:rsid w:val="00374BB6"/>
    <w:rsid w:val="0037575F"/>
    <w:rsid w:val="003833B3"/>
    <w:rsid w:val="003837DA"/>
    <w:rsid w:val="003B6C7B"/>
    <w:rsid w:val="00443EF7"/>
    <w:rsid w:val="004448B9"/>
    <w:rsid w:val="0045257D"/>
    <w:rsid w:val="004A61DE"/>
    <w:rsid w:val="004C3221"/>
    <w:rsid w:val="004E6C77"/>
    <w:rsid w:val="004F2E04"/>
    <w:rsid w:val="00512549"/>
    <w:rsid w:val="005259EC"/>
    <w:rsid w:val="005354AA"/>
    <w:rsid w:val="00535CBA"/>
    <w:rsid w:val="00537C5A"/>
    <w:rsid w:val="00552480"/>
    <w:rsid w:val="00553B38"/>
    <w:rsid w:val="00571F54"/>
    <w:rsid w:val="0059120A"/>
    <w:rsid w:val="005A0F3E"/>
    <w:rsid w:val="005B529A"/>
    <w:rsid w:val="005B675A"/>
    <w:rsid w:val="005C79EC"/>
    <w:rsid w:val="005D768B"/>
    <w:rsid w:val="00626735"/>
    <w:rsid w:val="00634AA1"/>
    <w:rsid w:val="0063689A"/>
    <w:rsid w:val="00636988"/>
    <w:rsid w:val="006466DF"/>
    <w:rsid w:val="006774C1"/>
    <w:rsid w:val="00696979"/>
    <w:rsid w:val="006D0DB5"/>
    <w:rsid w:val="006D4CEA"/>
    <w:rsid w:val="006E302A"/>
    <w:rsid w:val="006E59D0"/>
    <w:rsid w:val="00701AE6"/>
    <w:rsid w:val="0071778B"/>
    <w:rsid w:val="0074597B"/>
    <w:rsid w:val="00746B30"/>
    <w:rsid w:val="007872B0"/>
    <w:rsid w:val="007B2B00"/>
    <w:rsid w:val="007C5044"/>
    <w:rsid w:val="007C6132"/>
    <w:rsid w:val="007E09A5"/>
    <w:rsid w:val="007E2056"/>
    <w:rsid w:val="007E37C8"/>
    <w:rsid w:val="007F443B"/>
    <w:rsid w:val="007F49C5"/>
    <w:rsid w:val="0080553A"/>
    <w:rsid w:val="00830355"/>
    <w:rsid w:val="008349F8"/>
    <w:rsid w:val="00895BAC"/>
    <w:rsid w:val="008D5516"/>
    <w:rsid w:val="008E1ED8"/>
    <w:rsid w:val="008E53C3"/>
    <w:rsid w:val="008E730F"/>
    <w:rsid w:val="009076DF"/>
    <w:rsid w:val="00925675"/>
    <w:rsid w:val="009424B1"/>
    <w:rsid w:val="00971125"/>
    <w:rsid w:val="009962B4"/>
    <w:rsid w:val="009A036D"/>
    <w:rsid w:val="009A32FE"/>
    <w:rsid w:val="009D1030"/>
    <w:rsid w:val="00A34D21"/>
    <w:rsid w:val="00A43F23"/>
    <w:rsid w:val="00A56183"/>
    <w:rsid w:val="00B04849"/>
    <w:rsid w:val="00B12500"/>
    <w:rsid w:val="00B146E2"/>
    <w:rsid w:val="00B828D1"/>
    <w:rsid w:val="00BA1587"/>
    <w:rsid w:val="00BD4183"/>
    <w:rsid w:val="00C006C0"/>
    <w:rsid w:val="00C61083"/>
    <w:rsid w:val="00C768F9"/>
    <w:rsid w:val="00C8296B"/>
    <w:rsid w:val="00CA2B39"/>
    <w:rsid w:val="00CF404D"/>
    <w:rsid w:val="00CF5B03"/>
    <w:rsid w:val="00D34408"/>
    <w:rsid w:val="00D53D64"/>
    <w:rsid w:val="00D67AC1"/>
    <w:rsid w:val="00D8184B"/>
    <w:rsid w:val="00D86355"/>
    <w:rsid w:val="00DA13E4"/>
    <w:rsid w:val="00DC0755"/>
    <w:rsid w:val="00DC7FAE"/>
    <w:rsid w:val="00DF0ADF"/>
    <w:rsid w:val="00E134EF"/>
    <w:rsid w:val="00E22A2D"/>
    <w:rsid w:val="00E33455"/>
    <w:rsid w:val="00E41D52"/>
    <w:rsid w:val="00E71F97"/>
    <w:rsid w:val="00EF1867"/>
    <w:rsid w:val="00F37554"/>
    <w:rsid w:val="00F51727"/>
    <w:rsid w:val="00F65AB1"/>
    <w:rsid w:val="00F67ADE"/>
    <w:rsid w:val="00FA75A4"/>
    <w:rsid w:val="00FA7680"/>
    <w:rsid w:val="00FB282E"/>
    <w:rsid w:val="00FB7C0F"/>
    <w:rsid w:val="00FC2EA4"/>
    <w:rsid w:val="00FC7945"/>
    <w:rsid w:val="00FE17E7"/>
    <w:rsid w:val="00FE32E2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7B29AEAB"/>
  <w15:docId w15:val="{2B737DFA-717A-494F-9FA6-13A3A2F86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1AE6"/>
  </w:style>
  <w:style w:type="paragraph" w:styleId="Ttulo1">
    <w:name w:val="heading 1"/>
    <w:basedOn w:val="Normal"/>
    <w:next w:val="Normal"/>
    <w:link w:val="Ttulo1Char"/>
    <w:qFormat/>
    <w:rsid w:val="009D103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553B38"/>
  </w:style>
  <w:style w:type="paragraph" w:styleId="Rodap">
    <w:name w:val="footer"/>
    <w:basedOn w:val="Normal"/>
    <w:link w:val="RodapChar"/>
    <w:uiPriority w:val="99"/>
    <w:unhideWhenUsed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3B38"/>
  </w:style>
  <w:style w:type="paragraph" w:styleId="Textodebalo">
    <w:name w:val="Balloon Text"/>
    <w:basedOn w:val="Normal"/>
    <w:link w:val="TextodebaloChar"/>
    <w:uiPriority w:val="99"/>
    <w:semiHidden/>
    <w:unhideWhenUsed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B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9D10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rsid w:val="009D10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9D10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A34D21"/>
    <w:pPr>
      <w:ind w:left="720"/>
      <w:contextualSpacing/>
    </w:pPr>
  </w:style>
  <w:style w:type="paragraph" w:customStyle="1" w:styleId="corpo">
    <w:name w:val="corpo"/>
    <w:basedOn w:val="Normal"/>
    <w:rsid w:val="00FA7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443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viso">
    <w:name w:val="Revision"/>
    <w:hidden/>
    <w:uiPriority w:val="99"/>
    <w:semiHidden/>
    <w:rsid w:val="006D0D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7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A41A6-6248-4C22-9A2E-2F2E20A5F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767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cp:keywords/>
  <dc:description/>
  <cp:lastModifiedBy>PATRICIA MICHELS SANDRINI</cp:lastModifiedBy>
  <cp:revision>25</cp:revision>
  <cp:lastPrinted>2020-05-06T18:17:00Z</cp:lastPrinted>
  <dcterms:created xsi:type="dcterms:W3CDTF">2022-01-31T18:56:00Z</dcterms:created>
  <dcterms:modified xsi:type="dcterms:W3CDTF">2023-03-02T21:15:00Z</dcterms:modified>
</cp:coreProperties>
</file>